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B95A5" w14:textId="77777777" w:rsidR="002E44EA" w:rsidRDefault="002E44EA" w:rsidP="002E44EA">
      <w:pPr>
        <w:pStyle w:val="a3"/>
        <w:spacing w:before="0" w:beforeAutospacing="0" w:after="0" w:afterAutospacing="0" w:line="480" w:lineRule="auto"/>
        <w:jc w:val="center"/>
      </w:pPr>
      <w:r>
        <w:rPr>
          <w:b/>
          <w:bCs/>
          <w:color w:val="000000"/>
          <w:sz w:val="48"/>
          <w:szCs w:val="48"/>
        </w:rPr>
        <w:t>Using the Resolution Guidelines With the Mnemonic Ethical</w:t>
      </w:r>
    </w:p>
    <w:p w14:paraId="66C8B89A" w14:textId="77777777" w:rsidR="002E44EA" w:rsidRDefault="002E44EA" w:rsidP="002E44EA">
      <w:pPr>
        <w:pStyle w:val="a3"/>
        <w:spacing w:before="0" w:beforeAutospacing="0" w:after="0" w:afterAutospacing="0" w:line="480" w:lineRule="auto"/>
      </w:pPr>
      <w:r>
        <w:rPr>
          <w:b/>
          <w:bCs/>
          <w:color w:val="000000"/>
          <w:sz w:val="40"/>
          <w:szCs w:val="40"/>
        </w:rPr>
        <w:t>Examine Data Needed</w:t>
      </w:r>
    </w:p>
    <w:p w14:paraId="3D5EC7BC" w14:textId="77777777" w:rsidR="002E44EA" w:rsidRDefault="002E44EA" w:rsidP="002E44EA">
      <w:pPr>
        <w:pStyle w:val="a3"/>
        <w:spacing w:before="0" w:beforeAutospacing="0" w:after="0" w:afterAutospacing="0" w:line="480" w:lineRule="auto"/>
        <w:ind w:firstLine="720"/>
      </w:pPr>
      <w:r>
        <w:rPr>
          <w:color w:val="000000"/>
        </w:rPr>
        <w:t>The nurse practitioner requires additional information about the health of the patient before making an ethical decision. Part of the assessment should consider the possible impact of malnutrition since Ms. Brown thin with skin problems. Further assessment of the head injury is also necessary to limit chances of health complications. Dizziness after an injury to the head could be a sign of possible fatal health complication. Imaging techniques such as computed tomography scan (CT scan) are crucial during this initial stage to show the extent of damage (Eroglu et al., 2013). Such an initiative is also crucial in providing timely interventions that aim to improve the health of the patient. Information about the health of the patient will determine the next step in caring services. </w:t>
      </w:r>
    </w:p>
    <w:p w14:paraId="78213E53" w14:textId="77777777" w:rsidR="002E44EA" w:rsidRDefault="002E44EA" w:rsidP="002E44EA">
      <w:pPr>
        <w:pStyle w:val="a3"/>
        <w:spacing w:before="0" w:beforeAutospacing="0" w:after="0" w:afterAutospacing="0" w:line="480" w:lineRule="auto"/>
      </w:pPr>
      <w:r>
        <w:rPr>
          <w:b/>
          <w:bCs/>
          <w:color w:val="000000"/>
          <w:sz w:val="40"/>
          <w:szCs w:val="40"/>
        </w:rPr>
        <w:t>Think Person to Involve</w:t>
      </w:r>
    </w:p>
    <w:p w14:paraId="2E60FDD9" w14:textId="77777777" w:rsidR="002E44EA" w:rsidRDefault="002E44EA" w:rsidP="002E44EA">
      <w:pPr>
        <w:pStyle w:val="a3"/>
        <w:spacing w:before="0" w:beforeAutospacing="0" w:after="0" w:afterAutospacing="0" w:line="480" w:lineRule="auto"/>
        <w:ind w:firstLine="720"/>
      </w:pPr>
      <w:r>
        <w:rPr>
          <w:color w:val="000000"/>
        </w:rPr>
        <w:t>One of the people to involve in the decision-making process for health Ms. Brown is the patient and Roy. Ms. Brown should make the ultimate decision on how to handle her health-related issues. Roy can participate on a limited extent. He provides companionship to the patient and is the closest person to Ms. Brown. The decision made with the aim of providing care services for Ms. Brown will also affect Roy. Finally, the volunteering agencies should participate in assisting Ms. Brown. These agencies will assist in providing shelter for the couple as Ms. Brown recovers.  These organizations can include local churches or non-profit organizations that will provide transitional housing. </w:t>
      </w:r>
    </w:p>
    <w:p w14:paraId="59F745DF" w14:textId="77777777" w:rsidR="002E44EA" w:rsidRDefault="002E44EA" w:rsidP="002E44EA">
      <w:pPr>
        <w:pStyle w:val="a3"/>
        <w:spacing w:before="0" w:beforeAutospacing="0" w:after="0" w:afterAutospacing="0" w:line="480" w:lineRule="auto"/>
      </w:pPr>
      <w:r>
        <w:rPr>
          <w:b/>
          <w:bCs/>
          <w:color w:val="000000"/>
          <w:sz w:val="40"/>
          <w:szCs w:val="40"/>
        </w:rPr>
        <w:t>Humanize and Decision Tree</w:t>
      </w:r>
    </w:p>
    <w:p w14:paraId="7E406642" w14:textId="77777777" w:rsidR="002E44EA" w:rsidRDefault="002E44EA" w:rsidP="002E44EA">
      <w:pPr>
        <w:pStyle w:val="a3"/>
        <w:spacing w:before="0" w:beforeAutospacing="0" w:after="0" w:afterAutospacing="0" w:line="480" w:lineRule="auto"/>
      </w:pPr>
      <w:r>
        <w:rPr>
          <w:b/>
          <w:bCs/>
          <w:color w:val="000000"/>
          <w:sz w:val="40"/>
          <w:szCs w:val="40"/>
        </w:rPr>
        <w:lastRenderedPageBreak/>
        <w:t>Incorporate Ethical Principles</w:t>
      </w:r>
    </w:p>
    <w:p w14:paraId="079FE18C" w14:textId="77777777" w:rsidR="002E44EA" w:rsidRDefault="002E44EA" w:rsidP="002E44EA">
      <w:pPr>
        <w:pStyle w:val="a3"/>
        <w:spacing w:before="0" w:beforeAutospacing="0" w:after="0" w:afterAutospacing="0" w:line="480" w:lineRule="auto"/>
        <w:ind w:firstLine="720"/>
      </w:pPr>
      <w:r>
        <w:rPr>
          <w:color w:val="000000"/>
        </w:rPr>
        <w:t>One of the principles to incorporate in the case of Ms. Brown is beneficence. Under the principle of beneficence, a person should take an action that aims at improving conditions of other people (Munyaradzi, 2012). In the cases of Ms. Brown, the nurse practitioner should take actions that aim to improve the health and wellbeing of the patient. One of these actions involved offering comprehensive treatment despite the socioeconomic status of the patient. Thus, nurse practitioner should ensure Ms. Brown goes through all necessary diagnosis and treatment procedures to improve her health.</w:t>
      </w:r>
    </w:p>
    <w:p w14:paraId="1B9C7D2C" w14:textId="77777777" w:rsidR="002E44EA" w:rsidRDefault="002E44EA" w:rsidP="002E44EA">
      <w:pPr>
        <w:pStyle w:val="a3"/>
        <w:spacing w:before="0" w:beforeAutospacing="0" w:after="0" w:afterAutospacing="0" w:line="480" w:lineRule="auto"/>
        <w:ind w:firstLine="720"/>
      </w:pPr>
      <w:r>
        <w:rPr>
          <w:color w:val="000000"/>
        </w:rPr>
        <w:t>The nurse practitioner should also incorporate the principle of confidentiality (Page, 2012). Other people involved in assisting Ms. Brown should not gain information about her health condition without her consent. This practice also aligns with the requirement of the Health Insurance Portability and Accountability Act (HIPAA) (McCullough &amp; Schell-Chaple, 2013). The policy requires that healthcare professionals maintain the confidentiality of the patient’s information. Therefore, incorporation of the confidentiality principle also meets the regulatory requirements in caring for the patients. </w:t>
      </w:r>
    </w:p>
    <w:p w14:paraId="5D7AB522" w14:textId="77777777" w:rsidR="002E44EA" w:rsidRDefault="002E44EA" w:rsidP="002E44EA">
      <w:pPr>
        <w:pStyle w:val="a3"/>
        <w:spacing w:before="0" w:beforeAutospacing="0" w:after="0" w:afterAutospacing="0" w:line="480" w:lineRule="auto"/>
      </w:pPr>
      <w:r>
        <w:rPr>
          <w:b/>
          <w:bCs/>
          <w:color w:val="000000"/>
          <w:sz w:val="40"/>
          <w:szCs w:val="40"/>
        </w:rPr>
        <w:t>Choose an Option</w:t>
      </w:r>
    </w:p>
    <w:p w14:paraId="4783C360" w14:textId="77777777" w:rsidR="002E44EA" w:rsidRDefault="002E44EA" w:rsidP="002E44EA">
      <w:pPr>
        <w:pStyle w:val="a3"/>
        <w:spacing w:before="0" w:beforeAutospacing="0" w:after="0" w:afterAutospacing="0" w:line="480" w:lineRule="auto"/>
        <w:ind w:firstLine="720"/>
      </w:pPr>
      <w:r>
        <w:rPr>
          <w:color w:val="000000"/>
        </w:rPr>
        <w:t>The option for the case is to have a further medical diagnosis before making the final decision. The patient seems to have more than one problem that is affecting her health. Therefore, medical services are necessary together with care after discharge from the facility. Involvement of various professionals and people in the society is necessary to achieve these objectives. </w:t>
      </w:r>
    </w:p>
    <w:p w14:paraId="24EB148A" w14:textId="77777777" w:rsidR="002E44EA" w:rsidRDefault="002E44EA" w:rsidP="002E44EA">
      <w:pPr>
        <w:pStyle w:val="a3"/>
        <w:spacing w:before="0" w:beforeAutospacing="0" w:after="0" w:afterAutospacing="0" w:line="480" w:lineRule="auto"/>
      </w:pPr>
      <w:r>
        <w:rPr>
          <w:b/>
          <w:bCs/>
          <w:color w:val="000000"/>
          <w:sz w:val="40"/>
          <w:szCs w:val="40"/>
        </w:rPr>
        <w:t>Act on Your Ethical Choice.</w:t>
      </w:r>
    </w:p>
    <w:p w14:paraId="697FC3BA" w14:textId="77777777" w:rsidR="002E44EA" w:rsidRDefault="002E44EA" w:rsidP="002E44EA">
      <w:pPr>
        <w:pStyle w:val="a3"/>
        <w:spacing w:before="0" w:beforeAutospacing="0" w:after="0" w:afterAutospacing="0" w:line="480" w:lineRule="auto"/>
        <w:ind w:firstLine="720"/>
      </w:pPr>
      <w:r>
        <w:rPr>
          <w:color w:val="000000"/>
        </w:rPr>
        <w:t xml:space="preserve">Acting on the choice will require ordering for CT scan for the patient as one of the initial step in the provision of care services. The nurse practitioner may also order a blood test to show </w:t>
      </w:r>
      <w:r>
        <w:rPr>
          <w:color w:val="000000"/>
        </w:rPr>
        <w:lastRenderedPageBreak/>
        <w:t>possible underlying effects. Treatment should use evidence from these diagnostic tests. Finally, the nurse practitioner will need to contact volunteer organizations to provide shelter for the couple after discharge from the healthcare facility.</w:t>
      </w:r>
    </w:p>
    <w:p w14:paraId="6584AF5A" w14:textId="77777777" w:rsidR="002E44EA" w:rsidRDefault="002E44EA" w:rsidP="002E44EA">
      <w:pPr>
        <w:pStyle w:val="a3"/>
        <w:spacing w:before="0" w:beforeAutospacing="0" w:after="0" w:afterAutospacing="0" w:line="480" w:lineRule="auto"/>
      </w:pPr>
      <w:r>
        <w:rPr>
          <w:b/>
          <w:bCs/>
          <w:color w:val="000000"/>
          <w:sz w:val="40"/>
          <w:szCs w:val="40"/>
        </w:rPr>
        <w:t>Look Back and Evaluate Your Option</w:t>
      </w:r>
    </w:p>
    <w:p w14:paraId="2E480868" w14:textId="77777777" w:rsidR="002E44EA" w:rsidRDefault="002E44EA" w:rsidP="002E44EA">
      <w:pPr>
        <w:pStyle w:val="a3"/>
        <w:spacing w:before="0" w:beforeAutospacing="0" w:after="0" w:afterAutospacing="0" w:line="480" w:lineRule="auto"/>
        <w:ind w:firstLine="720"/>
      </w:pPr>
      <w:r>
        <w:rPr>
          <w:color w:val="000000"/>
        </w:rPr>
        <w:t>The action of diagnosing the patient is crucial in offering evidenced-based care services. Moreover, the action ensures timely intervention to avoid further health complication. Seeking the assistance of local churches and non-profit organization that aim to assist homeless people is vital in ensuring the wellbeing of the patient after leaving the healthcare facility. </w:t>
      </w:r>
    </w:p>
    <w:p w14:paraId="1C774929" w14:textId="77777777" w:rsidR="002E44EA" w:rsidRDefault="002E44EA" w:rsidP="002E44EA">
      <w:pPr>
        <w:pStyle w:val="a3"/>
        <w:spacing w:before="0" w:beforeAutospacing="0" w:after="0" w:afterAutospacing="0" w:line="480" w:lineRule="auto"/>
      </w:pPr>
      <w:r>
        <w:rPr>
          <w:b/>
          <w:bCs/>
          <w:color w:val="000000"/>
          <w:sz w:val="40"/>
          <w:szCs w:val="40"/>
        </w:rPr>
        <w:t>References</w:t>
      </w:r>
    </w:p>
    <w:p w14:paraId="273E7965" w14:textId="77777777" w:rsidR="002E44EA" w:rsidRDefault="002E44EA" w:rsidP="002E44EA">
      <w:pPr>
        <w:pStyle w:val="a3"/>
        <w:spacing w:before="0" w:beforeAutospacing="0" w:after="0" w:afterAutospacing="0" w:line="480" w:lineRule="auto"/>
        <w:ind w:firstLine="992"/>
      </w:pPr>
      <w:r>
        <w:rPr>
          <w:color w:val="000000"/>
        </w:rPr>
        <w:t>Eroglu, S. E., Onur, O., Ozkaya, S., Denızbasi, A., Demır, H., &amp; Ozpolat, C. (2013). Analysis of repeated CT scan need in blunt head trauma. </w:t>
      </w:r>
      <w:r>
        <w:rPr>
          <w:i/>
          <w:iCs/>
          <w:color w:val="000000"/>
        </w:rPr>
        <w:t>Emergency medicine international, 2013</w:t>
      </w:r>
      <w:r>
        <w:rPr>
          <w:color w:val="000000"/>
        </w:rPr>
        <w:t>.</w:t>
      </w:r>
    </w:p>
    <w:p w14:paraId="22C3E6D1" w14:textId="77777777" w:rsidR="002E44EA" w:rsidRDefault="002E44EA" w:rsidP="002E44EA">
      <w:pPr>
        <w:pStyle w:val="a3"/>
        <w:spacing w:before="0" w:beforeAutospacing="0" w:after="0" w:afterAutospacing="0" w:line="480" w:lineRule="auto"/>
        <w:ind w:firstLine="992"/>
      </w:pPr>
      <w:r>
        <w:rPr>
          <w:color w:val="000000"/>
        </w:rPr>
        <w:t>McCullough, J., &amp; Schell-Chaple, H. (2013). Maintaining patients’ privacy and confidentiality with family communications in the intensive care unit. </w:t>
      </w:r>
      <w:r>
        <w:rPr>
          <w:i/>
          <w:iCs/>
          <w:color w:val="000000"/>
        </w:rPr>
        <w:t>Critical care nurse, 33</w:t>
      </w:r>
      <w:r>
        <w:rPr>
          <w:color w:val="000000"/>
        </w:rPr>
        <w:t>(5), 77-79.</w:t>
      </w:r>
    </w:p>
    <w:p w14:paraId="507AB292" w14:textId="77777777" w:rsidR="002E44EA" w:rsidRDefault="002E44EA" w:rsidP="002E44EA">
      <w:pPr>
        <w:pStyle w:val="a3"/>
        <w:spacing w:before="0" w:beforeAutospacing="0" w:after="0" w:afterAutospacing="0" w:line="480" w:lineRule="auto"/>
        <w:ind w:firstLine="992"/>
      </w:pPr>
      <w:r>
        <w:rPr>
          <w:color w:val="000000"/>
        </w:rPr>
        <w:t>Munyaradzi, M. (2012). Critical reflections on the principle of beneficence in biomedicine. </w:t>
      </w:r>
      <w:r>
        <w:rPr>
          <w:i/>
          <w:iCs/>
          <w:color w:val="000000"/>
        </w:rPr>
        <w:t>The Pan African Medical Journal, 11</w:t>
      </w:r>
      <w:r>
        <w:rPr>
          <w:color w:val="000000"/>
        </w:rPr>
        <w:t>, 29.</w:t>
      </w:r>
    </w:p>
    <w:p w14:paraId="0E21724B" w14:textId="77777777" w:rsidR="002E44EA" w:rsidRDefault="002E44EA" w:rsidP="002E44EA">
      <w:pPr>
        <w:pStyle w:val="a3"/>
        <w:spacing w:before="0" w:beforeAutospacing="0" w:after="0" w:afterAutospacing="0" w:line="480" w:lineRule="auto"/>
        <w:ind w:firstLine="992"/>
      </w:pPr>
      <w:r>
        <w:rPr>
          <w:color w:val="000000"/>
        </w:rPr>
        <w:t>Page, K. (2012). The four principles: Can they be measured and do they predict ethical decision making?. </w:t>
      </w:r>
      <w:r>
        <w:rPr>
          <w:i/>
          <w:iCs/>
          <w:color w:val="000000"/>
        </w:rPr>
        <w:t>BMC medical ethics, 13</w:t>
      </w:r>
      <w:r>
        <w:rPr>
          <w:color w:val="000000"/>
        </w:rPr>
        <w:t>(1), 10.</w:t>
      </w:r>
    </w:p>
    <w:p w14:paraId="1201B905" w14:textId="77777777" w:rsidR="00EB6493" w:rsidRDefault="00EB6493"/>
    <w:sectPr w:rsidR="00EB6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46"/>
    <w:rsid w:val="00225E46"/>
    <w:rsid w:val="002E44EA"/>
    <w:rsid w:val="00EB649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D74F4-4331-460C-91C6-AF2F68B0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4E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5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2024-06-13T14:18:00Z</dcterms:created>
  <dcterms:modified xsi:type="dcterms:W3CDTF">2024-06-13T14:18:00Z</dcterms:modified>
</cp:coreProperties>
</file>