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3EF0" w14:textId="77777777" w:rsidR="00B4501C" w:rsidRDefault="00B4501C" w:rsidP="00B4501C">
      <w:pPr>
        <w:pStyle w:val="a3"/>
        <w:spacing w:before="0" w:beforeAutospacing="0" w:after="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Precocious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puberty</w:t>
      </w:r>
      <w:proofErr w:type="spellEnd"/>
    </w:p>
    <w:p w14:paraId="0C1C4E0A" w14:textId="77777777" w:rsidR="00B4501C" w:rsidRDefault="00B4501C" w:rsidP="00B4501C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Precocious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Puberty</w:t>
      </w:r>
      <w:proofErr w:type="spellEnd"/>
      <w:r>
        <w:rPr>
          <w:b/>
          <w:bCs/>
          <w:color w:val="000000"/>
          <w:sz w:val="40"/>
          <w:szCs w:val="40"/>
        </w:rPr>
        <w:t xml:space="preserve">/ </w:t>
      </w:r>
      <w:proofErr w:type="spellStart"/>
      <w:r>
        <w:rPr>
          <w:b/>
          <w:bCs/>
          <w:color w:val="000000"/>
          <w:sz w:val="40"/>
          <w:szCs w:val="40"/>
        </w:rPr>
        <w:t>Epidemiology</w:t>
      </w:r>
      <w:proofErr w:type="spellEnd"/>
    </w:p>
    <w:p w14:paraId="34EA88BC" w14:textId="77777777" w:rsidR="00B4501C" w:rsidRDefault="00B4501C" w:rsidP="00B4501C">
      <w:pPr>
        <w:pStyle w:val="a3"/>
        <w:spacing w:before="0" w:beforeAutospacing="0" w:after="0" w:afterAutospacing="0" w:line="480" w:lineRule="auto"/>
        <w:ind w:firstLine="720"/>
        <w:jc w:val="both"/>
      </w:pPr>
      <w:proofErr w:type="spellStart"/>
      <w:r>
        <w:rPr>
          <w:color w:val="000000"/>
        </w:rPr>
        <w:t>Precocious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characterised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appearance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precocious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girls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below</w:t>
      </w:r>
      <w:proofErr w:type="spellEnd"/>
      <w:r>
        <w:rPr>
          <w:color w:val="000000"/>
        </w:rPr>
        <w:t xml:space="preserve"> 8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indicates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girls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8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9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boys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Precocious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10:1 </w:t>
      </w:r>
      <w:proofErr w:type="spellStart"/>
      <w:r>
        <w:rPr>
          <w:color w:val="000000"/>
        </w:rPr>
        <w:t>female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across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world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Bouvattier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Pienkowski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n.d</w:t>
      </w:r>
      <w:proofErr w:type="spellEnd"/>
      <w:r>
        <w:rPr>
          <w:color w:val="000000"/>
        </w:rPr>
        <w:t xml:space="preserve">.).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precocious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unknown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anomalies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tumours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trigger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precocious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>.</w:t>
      </w:r>
    </w:p>
    <w:p w14:paraId="248C697E" w14:textId="77777777" w:rsidR="00B4501C" w:rsidRDefault="00B4501C" w:rsidP="00B4501C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Symptoms</w:t>
      </w:r>
      <w:proofErr w:type="spellEnd"/>
    </w:p>
    <w:p w14:paraId="39B7CE68" w14:textId="77777777" w:rsidR="00B4501C" w:rsidRDefault="00B4501C" w:rsidP="00B4501C">
      <w:pPr>
        <w:pStyle w:val="a3"/>
        <w:spacing w:before="0" w:beforeAutospacing="0" w:after="0" w:afterAutospacing="0" w:line="480" w:lineRule="auto"/>
        <w:ind w:firstLine="720"/>
        <w:jc w:val="both"/>
      </w:pP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hair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enlarged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testicles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deepening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voice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girls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enlarged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breast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hair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rapid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growth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Kaplowitz</w:t>
      </w:r>
      <w:proofErr w:type="spellEnd"/>
      <w:r>
        <w:rPr>
          <w:color w:val="000000"/>
        </w:rPr>
        <w:t>, 2016).</w:t>
      </w:r>
    </w:p>
    <w:p w14:paraId="5B763822" w14:textId="77777777" w:rsidR="00B4501C" w:rsidRDefault="00B4501C" w:rsidP="00B4501C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Pathophysiology</w:t>
      </w:r>
      <w:proofErr w:type="spellEnd"/>
    </w:p>
    <w:p w14:paraId="61544DB6" w14:textId="77777777" w:rsidR="00B4501C" w:rsidRDefault="00B4501C" w:rsidP="00B4501C">
      <w:pPr>
        <w:pStyle w:val="a3"/>
        <w:spacing w:before="0" w:beforeAutospacing="0" w:after="0" w:afterAutospacing="0" w:line="480" w:lineRule="auto"/>
        <w:ind w:firstLine="720"/>
        <w:jc w:val="both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triggers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gonadotropin-releasing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Gn</w:t>
      </w:r>
      <w:proofErr w:type="spellEnd"/>
      <w:r>
        <w:rPr>
          <w:color w:val="000000"/>
        </w:rPr>
        <w:t xml:space="preserve">-RH).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pituitary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luteinizing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hormone</w:t>
      </w:r>
      <w:proofErr w:type="spellEnd"/>
      <w:r>
        <w:rPr>
          <w:color w:val="000000"/>
        </w:rPr>
        <w:t xml:space="preserve"> (LH)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follicle-stimulating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hormone</w:t>
      </w:r>
      <w:proofErr w:type="spellEnd"/>
      <w:r>
        <w:rPr>
          <w:color w:val="000000"/>
        </w:rPr>
        <w:t xml:space="preserve"> (FSH).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Tirumuru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Latthe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Kirk</w:t>
      </w:r>
      <w:proofErr w:type="spellEnd"/>
      <w:r>
        <w:rPr>
          <w:color w:val="000000"/>
        </w:rPr>
        <w:t xml:space="preserve">, 2012).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example</w:t>
      </w:r>
      <w:proofErr w:type="spellEnd"/>
      <w:r>
        <w:rPr>
          <w:color w:val="000000"/>
        </w:rPr>
        <w:t xml:space="preserve">, FSH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LH </w:t>
      </w:r>
      <w:proofErr w:type="spellStart"/>
      <w:r>
        <w:rPr>
          <w:color w:val="000000"/>
        </w:rPr>
        <w:t>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ovaries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growth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female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sexual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characteristics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testicles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stimulate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growth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estrogen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testosterone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precocious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>.</w:t>
      </w:r>
    </w:p>
    <w:p w14:paraId="7A362564" w14:textId="77777777" w:rsidR="00B4501C" w:rsidRDefault="00B4501C" w:rsidP="00B4501C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lastRenderedPageBreak/>
        <w:t>Diagnosis</w:t>
      </w:r>
      <w:proofErr w:type="spellEnd"/>
    </w:p>
    <w:p w14:paraId="0A456B36" w14:textId="77777777" w:rsidR="00B4501C" w:rsidRDefault="00B4501C" w:rsidP="00B4501C">
      <w:pPr>
        <w:pStyle w:val="a3"/>
        <w:spacing w:before="0" w:beforeAutospacing="0" w:after="0" w:afterAutospacing="0" w:line="480" w:lineRule="auto"/>
        <w:ind w:firstLine="720"/>
        <w:jc w:val="both"/>
      </w:pPr>
      <w:proofErr w:type="spellStart"/>
      <w:r>
        <w:rPr>
          <w:color w:val="000000"/>
        </w:rPr>
        <w:t>Diagnosis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procedure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conducting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reviewing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history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running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examination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hair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enlarged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breasts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deepening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hair</w:t>
      </w:r>
      <w:proofErr w:type="spellEnd"/>
      <w:r>
        <w:rPr>
          <w:color w:val="000000"/>
        </w:rPr>
        <w:t xml:space="preserve">. X </w:t>
      </w:r>
      <w:proofErr w:type="spellStart"/>
      <w:r>
        <w:rPr>
          <w:color w:val="000000"/>
        </w:rPr>
        <w:t>rays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recommended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Saggese</w:t>
      </w:r>
      <w:proofErr w:type="spellEnd"/>
      <w:r>
        <w:rPr>
          <w:color w:val="000000"/>
        </w:rPr>
        <w:t xml:space="preserve">, 2013).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Magnetic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resonance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imaging</w:t>
      </w:r>
      <w:proofErr w:type="spellEnd"/>
      <w:r>
        <w:rPr>
          <w:color w:val="000000"/>
        </w:rPr>
        <w:t xml:space="preserve"> (MRI)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anomalies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thyroid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hypothyroidism</w:t>
      </w:r>
      <w:proofErr w:type="spellEnd"/>
      <w:r>
        <w:rPr>
          <w:color w:val="000000"/>
        </w:rPr>
        <w:t>.</w:t>
      </w:r>
    </w:p>
    <w:p w14:paraId="242EB017" w14:textId="77777777" w:rsidR="00B4501C" w:rsidRDefault="00B4501C" w:rsidP="00B4501C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Differential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diagnosis</w:t>
      </w:r>
      <w:proofErr w:type="spellEnd"/>
    </w:p>
    <w:p w14:paraId="2E26220C" w14:textId="77777777" w:rsidR="00B4501C" w:rsidRDefault="00B4501C" w:rsidP="00B4501C">
      <w:pPr>
        <w:pStyle w:val="a3"/>
        <w:spacing w:before="0" w:beforeAutospacing="0" w:after="0" w:afterAutospacing="0" w:line="480" w:lineRule="auto"/>
        <w:ind w:firstLine="720"/>
        <w:jc w:val="both"/>
      </w:pPr>
      <w:proofErr w:type="spellStart"/>
      <w:r>
        <w:rPr>
          <w:color w:val="000000"/>
        </w:rPr>
        <w:t>Autonomous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endocrine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hyperfuction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polyostotic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fibrous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dysplasia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neurofibromas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axillary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freckling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kyphoscoliosis</w:t>
      </w:r>
      <w:proofErr w:type="spellEnd"/>
    </w:p>
    <w:p w14:paraId="07F4E8F9" w14:textId="77777777" w:rsidR="00B4501C" w:rsidRDefault="00B4501C" w:rsidP="00B4501C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Treatment</w:t>
      </w:r>
      <w:proofErr w:type="spellEnd"/>
    </w:p>
    <w:p w14:paraId="599A5E4A" w14:textId="77777777" w:rsidR="00B4501C" w:rsidRDefault="00B4501C" w:rsidP="00B4501C">
      <w:pPr>
        <w:pStyle w:val="a3"/>
        <w:spacing w:before="0" w:beforeAutospacing="0" w:after="0" w:afterAutospacing="0" w:line="480" w:lineRule="auto"/>
        <w:ind w:firstLine="720"/>
        <w:jc w:val="both"/>
      </w:pP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example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Gn</w:t>
      </w:r>
      <w:proofErr w:type="spellEnd"/>
      <w:r>
        <w:rPr>
          <w:color w:val="000000"/>
        </w:rPr>
        <w:t xml:space="preserve">-RH </w:t>
      </w:r>
      <w:proofErr w:type="spellStart"/>
      <w:r>
        <w:rPr>
          <w:color w:val="000000"/>
        </w:rPr>
        <w:t>analogue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therapy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monthly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injection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Lupron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Depot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Tirumuru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Latthe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Kirk</w:t>
      </w:r>
      <w:proofErr w:type="spellEnd"/>
      <w:r>
        <w:rPr>
          <w:color w:val="000000"/>
        </w:rPr>
        <w:t xml:space="preserve">, 2012). </w:t>
      </w:r>
      <w:proofErr w:type="spellStart"/>
      <w:r>
        <w:rPr>
          <w:color w:val="000000"/>
        </w:rPr>
        <w:t>Surgery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tumors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trigger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precocious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>.</w:t>
      </w:r>
    </w:p>
    <w:p w14:paraId="122021D0" w14:textId="77777777" w:rsidR="00B4501C" w:rsidRDefault="00B4501C" w:rsidP="00B4501C">
      <w:pPr>
        <w:pStyle w:val="a3"/>
        <w:spacing w:before="0" w:beforeAutospacing="0" w:after="0" w:afterAutospacing="0" w:line="480" w:lineRule="auto"/>
        <w:ind w:firstLine="720"/>
        <w:jc w:val="both"/>
      </w:pP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precocious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emotional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introduce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counselling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>. </w:t>
      </w:r>
    </w:p>
    <w:p w14:paraId="75BDF5BC" w14:textId="77777777" w:rsidR="00B4501C" w:rsidRDefault="00B4501C" w:rsidP="00B4501C">
      <w:pPr>
        <w:pStyle w:val="a3"/>
        <w:spacing w:before="0" w:beforeAutospacing="0" w:after="28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138930F3" w14:textId="77777777" w:rsidR="00B4501C" w:rsidRDefault="00B4501C" w:rsidP="00B4501C">
      <w:pPr>
        <w:pStyle w:val="a3"/>
        <w:spacing w:before="0" w:beforeAutospacing="0" w:after="180" w:afterAutospacing="0" w:line="480" w:lineRule="auto"/>
        <w:ind w:firstLine="992"/>
      </w:pPr>
      <w:proofErr w:type="spellStart"/>
      <w:r>
        <w:rPr>
          <w:color w:val="000000"/>
        </w:rPr>
        <w:t>Bouvattier</w:t>
      </w:r>
      <w:proofErr w:type="spellEnd"/>
      <w:r>
        <w:rPr>
          <w:color w:val="000000"/>
        </w:rPr>
        <w:t xml:space="preserve">, C., &amp; </w:t>
      </w:r>
      <w:proofErr w:type="spellStart"/>
      <w:r>
        <w:rPr>
          <w:color w:val="000000"/>
        </w:rPr>
        <w:t>Pienkowski</w:t>
      </w:r>
      <w:proofErr w:type="spellEnd"/>
      <w:r>
        <w:rPr>
          <w:color w:val="000000"/>
        </w:rPr>
        <w:t>, C. </w:t>
      </w:r>
      <w:proofErr w:type="spellStart"/>
      <w:r>
        <w:rPr>
          <w:i/>
          <w:iCs/>
          <w:color w:val="000000"/>
        </w:rPr>
        <w:t>Early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puberty</w:t>
      </w:r>
      <w:proofErr w:type="spellEnd"/>
      <w:r>
        <w:rPr>
          <w:color w:val="000000"/>
        </w:rPr>
        <w:t>.</w:t>
      </w:r>
    </w:p>
    <w:p w14:paraId="1127934D" w14:textId="77777777" w:rsidR="00B4501C" w:rsidRDefault="00B4501C" w:rsidP="00B4501C">
      <w:pPr>
        <w:pStyle w:val="a3"/>
        <w:spacing w:before="0" w:beforeAutospacing="0" w:after="180" w:afterAutospacing="0" w:line="480" w:lineRule="auto"/>
        <w:ind w:firstLine="992"/>
      </w:pPr>
      <w:proofErr w:type="spellStart"/>
      <w:r>
        <w:rPr>
          <w:color w:val="000000"/>
        </w:rPr>
        <w:t>Butler</w:t>
      </w:r>
      <w:proofErr w:type="spellEnd"/>
      <w:r>
        <w:rPr>
          <w:color w:val="000000"/>
        </w:rPr>
        <w:t xml:space="preserve">, G. (2017). </w:t>
      </w:r>
      <w:proofErr w:type="spellStart"/>
      <w:r>
        <w:rPr>
          <w:color w:val="000000"/>
        </w:rPr>
        <w:t>Precocious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variants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Endocrine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Abstracts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>: 10.1530/endoabs.51.cme6</w:t>
      </w:r>
    </w:p>
    <w:p w14:paraId="364AAD37" w14:textId="77777777" w:rsidR="00B4501C" w:rsidRDefault="00B4501C" w:rsidP="00B4501C">
      <w:pPr>
        <w:pStyle w:val="a3"/>
        <w:spacing w:before="0" w:beforeAutospacing="0" w:after="180" w:afterAutospacing="0" w:line="480" w:lineRule="auto"/>
        <w:ind w:firstLine="992"/>
      </w:pPr>
      <w:proofErr w:type="spellStart"/>
      <w:r>
        <w:rPr>
          <w:color w:val="000000"/>
        </w:rPr>
        <w:t>Kaplowitz</w:t>
      </w:r>
      <w:proofErr w:type="spellEnd"/>
      <w:r>
        <w:rPr>
          <w:color w:val="000000"/>
        </w:rPr>
        <w:t>, P. (2016). </w:t>
      </w:r>
      <w:proofErr w:type="spellStart"/>
      <w:r>
        <w:rPr>
          <w:i/>
          <w:iCs/>
          <w:color w:val="000000"/>
        </w:rPr>
        <w:t>Early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puberty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girls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York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Ballantine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Books</w:t>
      </w:r>
      <w:proofErr w:type="spellEnd"/>
      <w:r>
        <w:rPr>
          <w:color w:val="000000"/>
        </w:rPr>
        <w:t>.</w:t>
      </w:r>
    </w:p>
    <w:p w14:paraId="69E3F251" w14:textId="77777777" w:rsidR="00B4501C" w:rsidRDefault="00B4501C" w:rsidP="00B4501C">
      <w:pPr>
        <w:pStyle w:val="a3"/>
        <w:spacing w:before="0" w:beforeAutospacing="0" w:after="180" w:afterAutospacing="0" w:line="480" w:lineRule="auto"/>
        <w:ind w:firstLine="992"/>
      </w:pPr>
      <w:proofErr w:type="spellStart"/>
      <w:r>
        <w:rPr>
          <w:color w:val="000000"/>
        </w:rPr>
        <w:lastRenderedPageBreak/>
        <w:t>Precocious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 xml:space="preserve">):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... </w:t>
      </w:r>
      <w:proofErr w:type="spellStart"/>
      <w:r>
        <w:rPr>
          <w:color w:val="000000"/>
        </w:rPr>
        <w:t>Retrieved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http://www.med.umich.edu/yourchild/topics/puberty.htm</w:t>
      </w:r>
    </w:p>
    <w:p w14:paraId="68D3F75F" w14:textId="77777777" w:rsidR="00B4501C" w:rsidRDefault="00B4501C" w:rsidP="00B4501C">
      <w:pPr>
        <w:pStyle w:val="a3"/>
        <w:spacing w:before="0" w:beforeAutospacing="0" w:after="180" w:afterAutospacing="0" w:line="480" w:lineRule="auto"/>
        <w:ind w:firstLine="992"/>
      </w:pPr>
      <w:proofErr w:type="spellStart"/>
      <w:r>
        <w:rPr>
          <w:color w:val="000000"/>
        </w:rPr>
        <w:t>Precocious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 xml:space="preserve"> | </w:t>
      </w:r>
      <w:proofErr w:type="spellStart"/>
      <w:r>
        <w:rPr>
          <w:color w:val="000000"/>
        </w:rPr>
        <w:t>Genetic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... </w:t>
      </w:r>
      <w:proofErr w:type="spellStart"/>
      <w:r>
        <w:rPr>
          <w:color w:val="000000"/>
        </w:rPr>
        <w:t>Retrieved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https://rarediseases.info.nih.gov/diseases/7446/precocious-puberty</w:t>
      </w:r>
    </w:p>
    <w:p w14:paraId="26C5F192" w14:textId="77777777" w:rsidR="00B4501C" w:rsidRDefault="00B4501C" w:rsidP="00B4501C">
      <w:pPr>
        <w:pStyle w:val="a3"/>
        <w:spacing w:before="0" w:beforeAutospacing="0" w:after="180" w:afterAutospacing="0" w:line="480" w:lineRule="auto"/>
        <w:ind w:firstLine="992"/>
      </w:pPr>
      <w:proofErr w:type="spellStart"/>
      <w:r>
        <w:rPr>
          <w:color w:val="000000"/>
        </w:rPr>
        <w:t>Saggese</w:t>
      </w:r>
      <w:proofErr w:type="spellEnd"/>
      <w:r>
        <w:rPr>
          <w:color w:val="000000"/>
        </w:rPr>
        <w:t>, G. (2013). </w:t>
      </w:r>
      <w:proofErr w:type="spellStart"/>
      <w:r>
        <w:rPr>
          <w:i/>
          <w:iCs/>
          <w:color w:val="000000"/>
        </w:rPr>
        <w:t>European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conference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diagnosis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treatment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central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precocious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puberty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London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England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Freund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Ltd</w:t>
      </w:r>
      <w:proofErr w:type="spellEnd"/>
      <w:r>
        <w:rPr>
          <w:color w:val="000000"/>
        </w:rPr>
        <w:t>.</w:t>
      </w:r>
    </w:p>
    <w:p w14:paraId="12D143C3" w14:textId="77777777" w:rsidR="00B4501C" w:rsidRDefault="00B4501C" w:rsidP="00B4501C">
      <w:pPr>
        <w:pStyle w:val="a3"/>
        <w:spacing w:before="0" w:beforeAutospacing="0" w:after="180" w:afterAutospacing="0" w:line="480" w:lineRule="auto"/>
        <w:ind w:firstLine="992"/>
      </w:pPr>
      <w:proofErr w:type="spellStart"/>
      <w:r>
        <w:rPr>
          <w:color w:val="000000"/>
        </w:rPr>
        <w:t>Tirumuru</w:t>
      </w:r>
      <w:proofErr w:type="spellEnd"/>
      <w:r>
        <w:rPr>
          <w:color w:val="000000"/>
        </w:rPr>
        <w:t xml:space="preserve">, S., </w:t>
      </w:r>
      <w:proofErr w:type="spellStart"/>
      <w:r>
        <w:rPr>
          <w:color w:val="000000"/>
        </w:rPr>
        <w:t>Arya</w:t>
      </w:r>
      <w:proofErr w:type="spellEnd"/>
      <w:r>
        <w:rPr>
          <w:color w:val="000000"/>
        </w:rPr>
        <w:t xml:space="preserve">, P., </w:t>
      </w:r>
      <w:proofErr w:type="spellStart"/>
      <w:r>
        <w:rPr>
          <w:color w:val="000000"/>
        </w:rPr>
        <w:t>Latthe</w:t>
      </w:r>
      <w:proofErr w:type="spellEnd"/>
      <w:r>
        <w:rPr>
          <w:color w:val="000000"/>
        </w:rPr>
        <w:t xml:space="preserve">, P., &amp; </w:t>
      </w:r>
      <w:proofErr w:type="spellStart"/>
      <w:r>
        <w:rPr>
          <w:color w:val="000000"/>
        </w:rPr>
        <w:t>Kirk</w:t>
      </w:r>
      <w:proofErr w:type="spellEnd"/>
      <w:r>
        <w:rPr>
          <w:color w:val="000000"/>
        </w:rPr>
        <w:t xml:space="preserve">, J. (2012). </w:t>
      </w:r>
      <w:proofErr w:type="spellStart"/>
      <w:r>
        <w:rPr>
          <w:color w:val="000000"/>
        </w:rPr>
        <w:t>Understanding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precocious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puberty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girls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Obstetrician</w:t>
      </w:r>
      <w:proofErr w:type="spellEnd"/>
      <w:r>
        <w:rPr>
          <w:i/>
          <w:iCs/>
          <w:color w:val="000000"/>
        </w:rPr>
        <w:t xml:space="preserve"> &amp; </w:t>
      </w:r>
      <w:proofErr w:type="spellStart"/>
      <w:r>
        <w:rPr>
          <w:i/>
          <w:iCs/>
          <w:color w:val="000000"/>
        </w:rPr>
        <w:t>Gynaecologist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14</w:t>
      </w:r>
      <w:r>
        <w:rPr>
          <w:color w:val="000000"/>
        </w:rPr>
        <w:t xml:space="preserve">(2), 121-129.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>: 10.1111/j.1744-4667.2012.00094.x</w:t>
      </w:r>
    </w:p>
    <w:p w14:paraId="0028A97C" w14:textId="77777777" w:rsidR="006828FF" w:rsidRDefault="006828FF"/>
    <w:sectPr w:rsidR="0068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D9"/>
    <w:rsid w:val="006828FF"/>
    <w:rsid w:val="00B4501C"/>
    <w:rsid w:val="00FA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AC16C-EBFF-4FF6-ADAD-F5A55311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2023-03-23T21:57:00Z</dcterms:created>
  <dcterms:modified xsi:type="dcterms:W3CDTF">2023-03-23T21:57:00Z</dcterms:modified>
</cp:coreProperties>
</file>