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68CD" w14:textId="77777777" w:rsidR="008E53E8" w:rsidRDefault="008E53E8" w:rsidP="008E53E8">
      <w:pPr>
        <w:pStyle w:val="a3"/>
        <w:spacing w:before="0" w:beforeAutospacing="0" w:after="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  <w:shd w:val="clear" w:color="auto" w:fill="FFFFFF"/>
        </w:rPr>
        <w:t>Diabetes</w:t>
      </w:r>
      <w:proofErr w:type="spellEnd"/>
      <w:r>
        <w:rPr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  <w:shd w:val="clear" w:color="auto" w:fill="FFFFFF"/>
        </w:rPr>
        <w:t>Mellitus</w:t>
      </w:r>
      <w:proofErr w:type="spellEnd"/>
      <w:r>
        <w:rPr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  <w:shd w:val="clear" w:color="auto" w:fill="FFFFFF"/>
        </w:rPr>
        <w:t>and</w:t>
      </w:r>
      <w:proofErr w:type="spellEnd"/>
      <w:r>
        <w:rPr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  <w:shd w:val="clear" w:color="auto" w:fill="FFFFFF"/>
        </w:rPr>
        <w:t>Alternative</w:t>
      </w:r>
      <w:proofErr w:type="spellEnd"/>
      <w:r>
        <w:rPr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  <w:shd w:val="clear" w:color="auto" w:fill="FFFFFF"/>
        </w:rPr>
        <w:t>Medicines</w:t>
      </w:r>
      <w:proofErr w:type="spellEnd"/>
    </w:p>
    <w:p w14:paraId="42882749" w14:textId="77777777" w:rsidR="008E53E8" w:rsidRDefault="008E53E8" w:rsidP="008E53E8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frequency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effectivity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expenditure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types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beliefs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perception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attitude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diabetes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mellitus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complementary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(CAM)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clinics</w:t>
      </w:r>
      <w:proofErr w:type="spellEnd"/>
      <w:r>
        <w:rPr>
          <w:color w:val="000000"/>
        </w:rPr>
        <w:t>.</w:t>
      </w:r>
    </w:p>
    <w:p w14:paraId="7C57F8CD" w14:textId="77777777" w:rsidR="008E53E8" w:rsidRDefault="008E53E8" w:rsidP="008E53E8">
      <w:pPr>
        <w:pStyle w:val="a3"/>
        <w:spacing w:before="0" w:beforeAutospacing="0" w:after="200" w:afterAutospacing="0" w:line="480" w:lineRule="auto"/>
        <w:ind w:firstLine="720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total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hundred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fifty-two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eligible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original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cohort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twelve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hundred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enrolled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response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ninety-five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drawn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average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fifty-five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minus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ten</w:t>
      </w:r>
      <w:proofErr w:type="spellEnd"/>
      <w:r>
        <w:rPr>
          <w:color w:val="000000"/>
          <w:shd w:val="clear" w:color="auto" w:fill="FFFFFF"/>
        </w:rPr>
        <w:t>.</w:t>
      </w:r>
    </w:p>
    <w:p w14:paraId="55F0D625" w14:textId="77777777" w:rsidR="008E53E8" w:rsidRDefault="008E53E8" w:rsidP="008E53E8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instruments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variable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used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clearly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defined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independent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variables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SPSS v.19 </w:t>
      </w:r>
      <w:proofErr w:type="spellStart"/>
      <w:r>
        <w:rPr>
          <w:color w:val="000000"/>
          <w:shd w:val="clear" w:color="auto" w:fill="FFFFFF"/>
        </w:rPr>
        <w:t>was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used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analyze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data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Descriptive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statistics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such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standard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deviation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percentages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frequencies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means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calculated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Chi-square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was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used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determine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relationship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between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social-demographic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factors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such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gender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religion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alternative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medications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usage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predictors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alternative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medication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identified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using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multivariate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logistic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regression</w:t>
      </w:r>
      <w:proofErr w:type="spellEnd"/>
      <w:r>
        <w:rPr>
          <w:color w:val="000000"/>
          <w:shd w:val="clear" w:color="auto" w:fill="FFFFFF"/>
        </w:rPr>
        <w:t>. </w:t>
      </w:r>
    </w:p>
    <w:p w14:paraId="13542515" w14:textId="77777777" w:rsidR="008E53E8" w:rsidRDefault="008E53E8" w:rsidP="008E53E8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  <w:shd w:val="clear" w:color="auto" w:fill="FFFFFF"/>
        </w:rPr>
        <w:t>Twelve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participants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refused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participate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lowering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number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samples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from</w:t>
      </w:r>
      <w:proofErr w:type="spellEnd"/>
      <w:r>
        <w:rPr>
          <w:color w:val="000000"/>
          <w:shd w:val="clear" w:color="auto" w:fill="FFFFFF"/>
        </w:rPr>
        <w:t xml:space="preserve"> 152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140. </w:t>
      </w:r>
      <w:proofErr w:type="spellStart"/>
      <w:r>
        <w:rPr>
          <w:color w:val="000000"/>
          <w:shd w:val="clear" w:color="auto" w:fill="FFFFFF"/>
        </w:rPr>
        <w:t>This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increases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chance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having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type</w:t>
      </w:r>
      <w:proofErr w:type="spellEnd"/>
      <w:r>
        <w:rPr>
          <w:color w:val="000000"/>
          <w:shd w:val="clear" w:color="auto" w:fill="FFFFFF"/>
        </w:rPr>
        <w:t xml:space="preserve"> I </w:t>
      </w:r>
      <w:proofErr w:type="spellStart"/>
      <w:r>
        <w:rPr>
          <w:color w:val="000000"/>
          <w:shd w:val="clear" w:color="auto" w:fill="FFFFFF"/>
        </w:rPr>
        <w:t>error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research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though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numbers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participants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who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dropped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large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enough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complicate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whole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process</w:t>
      </w:r>
      <w:proofErr w:type="spellEnd"/>
      <w:r>
        <w:rPr>
          <w:color w:val="000000"/>
          <w:shd w:val="clear" w:color="auto" w:fill="FFFFFF"/>
        </w:rPr>
        <w:t>. </w:t>
      </w:r>
    </w:p>
    <w:p w14:paraId="1E1F4FBA" w14:textId="77777777" w:rsidR="008E53E8" w:rsidRDefault="008E53E8" w:rsidP="008E53E8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results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previous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studies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associate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complementary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alternative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medication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with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preventive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health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behavior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According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Robinson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</w:t>
      </w:r>
      <w:proofErr w:type="spellEnd"/>
      <w:r>
        <w:rPr>
          <w:color w:val="000000"/>
          <w:shd w:val="clear" w:color="auto" w:fill="FFFFFF"/>
        </w:rPr>
        <w:t xml:space="preserve">. (2002), </w:t>
      </w:r>
      <w:proofErr w:type="spellStart"/>
      <w:r>
        <w:rPr>
          <w:color w:val="000000"/>
          <w:shd w:val="clear" w:color="auto" w:fill="FFFFFF"/>
        </w:rPr>
        <w:t>those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who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alternative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medicine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treatment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diabetes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are</w:t>
      </w:r>
      <w:proofErr w:type="spellEnd"/>
      <w:r>
        <w:rPr>
          <w:color w:val="000000"/>
          <w:shd w:val="clear" w:color="auto" w:fill="FFFFFF"/>
        </w:rPr>
        <w:t xml:space="preserve"> 1.5 </w:t>
      </w:r>
      <w:proofErr w:type="spellStart"/>
      <w:r>
        <w:rPr>
          <w:color w:val="000000"/>
          <w:shd w:val="clear" w:color="auto" w:fill="FFFFFF"/>
        </w:rPr>
        <w:t>times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less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likely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have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advanced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effects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diabetes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compared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those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who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taking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medication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It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studies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that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frequency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alternative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medication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intake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Diabetes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Mellitus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patients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has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broad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range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17–72.8 </w:t>
      </w:r>
      <w:proofErr w:type="spellStart"/>
      <w:r>
        <w:rPr>
          <w:color w:val="000000"/>
          <w:shd w:val="clear" w:color="auto" w:fill="FFFFFF"/>
        </w:rPr>
        <w:t>percent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due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lack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reliable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supporting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data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</w:rPr>
        <w:t>Hutch</w:t>
      </w:r>
      <w:proofErr w:type="spellEnd"/>
      <w:r>
        <w:rPr>
          <w:color w:val="000000"/>
        </w:rPr>
        <w:t>, R. A. (2011)</w:t>
      </w:r>
      <w:r>
        <w:rPr>
          <w:color w:val="000000"/>
          <w:shd w:val="clear" w:color="auto" w:fill="FFFFFF"/>
        </w:rPr>
        <w:t>.</w:t>
      </w:r>
    </w:p>
    <w:p w14:paraId="324255C8" w14:textId="77777777" w:rsidR="008E53E8" w:rsidRDefault="008E53E8" w:rsidP="008E53E8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lastRenderedPageBreak/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ethnic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western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complementary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shd w:val="clear" w:color="auto" w:fill="FFFFFF"/>
        </w:rPr>
        <w:t>Hutch</w:t>
      </w:r>
      <w:proofErr w:type="spellEnd"/>
      <w:r>
        <w:rPr>
          <w:color w:val="000000"/>
          <w:shd w:val="clear" w:color="auto" w:fill="FFFFFF"/>
        </w:rPr>
        <w:t>, 2012)</w:t>
      </w:r>
      <w:r>
        <w:rPr>
          <w:color w:val="000000"/>
        </w:rPr>
        <w:t>.</w:t>
      </w:r>
    </w:p>
    <w:p w14:paraId="35E1B0E0" w14:textId="77777777" w:rsidR="008E53E8" w:rsidRDefault="008E53E8" w:rsidP="008E53E8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2E4B4556" w14:textId="77777777" w:rsidR="008E53E8" w:rsidRDefault="008E53E8" w:rsidP="008E53E8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Hutch</w:t>
      </w:r>
      <w:proofErr w:type="spellEnd"/>
      <w:r>
        <w:rPr>
          <w:color w:val="000000"/>
        </w:rPr>
        <w:t xml:space="preserve">, R. A. (2011).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Healing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Spiritual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Pharmaceutical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Mechanical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Medicine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Religion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52</w:t>
      </w:r>
      <w:r>
        <w:rPr>
          <w:color w:val="000000"/>
        </w:rPr>
        <w:t>(3), 955-965.</w:t>
      </w:r>
    </w:p>
    <w:p w14:paraId="18AFC46B" w14:textId="77777777" w:rsidR="008E53E8" w:rsidRDefault="008E53E8" w:rsidP="008E53E8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Manya</w:t>
      </w:r>
      <w:proofErr w:type="spellEnd"/>
      <w:r>
        <w:rPr>
          <w:color w:val="000000"/>
        </w:rPr>
        <w:t xml:space="preserve">, K., </w:t>
      </w:r>
      <w:proofErr w:type="spellStart"/>
      <w:r>
        <w:rPr>
          <w:color w:val="000000"/>
        </w:rPr>
        <w:t>Champion</w:t>
      </w:r>
      <w:proofErr w:type="spellEnd"/>
      <w:r>
        <w:rPr>
          <w:color w:val="000000"/>
        </w:rPr>
        <w:t xml:space="preserve">, B., &amp; </w:t>
      </w:r>
      <w:proofErr w:type="spellStart"/>
      <w:r>
        <w:rPr>
          <w:color w:val="000000"/>
        </w:rPr>
        <w:t>Dunning</w:t>
      </w:r>
      <w:proofErr w:type="spellEnd"/>
      <w:r>
        <w:rPr>
          <w:color w:val="000000"/>
        </w:rPr>
        <w:t xml:space="preserve">, T. (2012).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complementary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diabetes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Sydney</w:t>
      </w:r>
      <w:proofErr w:type="spellEnd"/>
      <w:r>
        <w:rPr>
          <w:color w:val="000000"/>
        </w:rPr>
        <w:t>. </w:t>
      </w:r>
      <w:r>
        <w:rPr>
          <w:i/>
          <w:iCs/>
          <w:color w:val="000000"/>
        </w:rPr>
        <w:t xml:space="preserve">BMC </w:t>
      </w:r>
      <w:proofErr w:type="spellStart"/>
      <w:r>
        <w:rPr>
          <w:i/>
          <w:iCs/>
          <w:color w:val="000000"/>
        </w:rPr>
        <w:t>Complementary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Alternative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Medicine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12</w:t>
      </w:r>
      <w:r>
        <w:rPr>
          <w:color w:val="000000"/>
        </w:rPr>
        <w:t>(1), 307-319.</w:t>
      </w:r>
    </w:p>
    <w:p w14:paraId="2A0EFDFC" w14:textId="77777777" w:rsidR="008E53E8" w:rsidRDefault="008E53E8" w:rsidP="008E53E8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Robinson</w:t>
      </w:r>
      <w:proofErr w:type="spellEnd"/>
      <w:r>
        <w:rPr>
          <w:color w:val="000000"/>
        </w:rPr>
        <w:t xml:space="preserve">, A. R., </w:t>
      </w:r>
      <w:proofErr w:type="spellStart"/>
      <w:r>
        <w:rPr>
          <w:color w:val="000000"/>
        </w:rPr>
        <w:t>Crane</w:t>
      </w:r>
      <w:proofErr w:type="spellEnd"/>
      <w:r>
        <w:rPr>
          <w:color w:val="000000"/>
        </w:rPr>
        <w:t xml:space="preserve">, L. A., </w:t>
      </w:r>
      <w:proofErr w:type="spellStart"/>
      <w:r>
        <w:rPr>
          <w:color w:val="000000"/>
        </w:rPr>
        <w:t>Davidson</w:t>
      </w:r>
      <w:proofErr w:type="spellEnd"/>
      <w:r>
        <w:rPr>
          <w:color w:val="000000"/>
        </w:rPr>
        <w:t xml:space="preserve">, A. J., &amp; </w:t>
      </w:r>
      <w:proofErr w:type="spellStart"/>
      <w:r>
        <w:rPr>
          <w:color w:val="000000"/>
        </w:rPr>
        <w:t>Steiner</w:t>
      </w:r>
      <w:proofErr w:type="spellEnd"/>
      <w:r>
        <w:rPr>
          <w:color w:val="000000"/>
        </w:rPr>
        <w:t xml:space="preserve">, J. F. (2002). </w:t>
      </w:r>
      <w:proofErr w:type="spellStart"/>
      <w:r>
        <w:rPr>
          <w:color w:val="000000"/>
        </w:rPr>
        <w:t>Association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Complementary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Alternative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Health-Related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Participants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Preventive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Medicine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34</w:t>
      </w:r>
      <w:r>
        <w:rPr>
          <w:color w:val="000000"/>
        </w:rPr>
        <w:t>(1), 51-57.</w:t>
      </w:r>
    </w:p>
    <w:p w14:paraId="7FCC9279" w14:textId="77777777" w:rsidR="00783F0F" w:rsidRDefault="00783F0F"/>
    <w:sectPr w:rsidR="0078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EA"/>
    <w:rsid w:val="001B62EA"/>
    <w:rsid w:val="00783F0F"/>
    <w:rsid w:val="008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C4B72-4CFD-4587-B5A8-1BCC0137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2023-02-27T20:11:00Z</dcterms:created>
  <dcterms:modified xsi:type="dcterms:W3CDTF">2023-02-27T20:15:00Z</dcterms:modified>
</cp:coreProperties>
</file>