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306E6" w14:textId="77777777" w:rsidR="00BB0B06" w:rsidRPr="00BB0B06" w:rsidRDefault="00BB0B06" w:rsidP="00BB0B06">
      <w:pPr>
        <w:shd w:val="clear" w:color="auto" w:fill="FCFCFC"/>
        <w:spacing w:after="0" w:line="480" w:lineRule="auto"/>
        <w:jc w:val="center"/>
        <w:rPr>
          <w:rFonts w:ascii="Times New Roman" w:eastAsia="Times New Roman" w:hAnsi="Times New Roman" w:cs="Times New Roman"/>
          <w:sz w:val="24"/>
          <w:szCs w:val="24"/>
          <w:lang/>
        </w:rPr>
      </w:pPr>
      <w:r w:rsidRPr="00BB0B06">
        <w:rPr>
          <w:rFonts w:ascii="Times New Roman" w:eastAsia="Times New Roman" w:hAnsi="Times New Roman" w:cs="Times New Roman"/>
          <w:b/>
          <w:bCs/>
          <w:color w:val="222222"/>
          <w:sz w:val="48"/>
          <w:szCs w:val="48"/>
          <w:shd w:val="clear" w:color="auto" w:fill="FFFFFF"/>
          <w:lang/>
        </w:rPr>
        <w:t>Medication Adherence Activity: Gemfibrozil and Hyperlipidemia</w:t>
      </w:r>
    </w:p>
    <w:p w14:paraId="1A8C74E8"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b/>
          <w:bCs/>
          <w:color w:val="000000"/>
          <w:sz w:val="40"/>
          <w:szCs w:val="40"/>
          <w:lang/>
        </w:rPr>
        <w:t>Introduction</w:t>
      </w:r>
    </w:p>
    <w:p w14:paraId="196DA979"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ab/>
        <w:t>Gemfibrozil is an important lipid-regulating drug used in the treatment of hypertriglyceridemia in types IV and V of Hyperlipidemia. The treatment is through its addition to the diet of the patients who are vulnerable to pancreatitis and have a negative response to diet (Micromedex, et al., and 2017). This study aims at creating an insight of Hyperlipidemia, the uses of Gemfibrozil and the patient’s medical adherence activity.</w:t>
      </w:r>
    </w:p>
    <w:p w14:paraId="1F0B3B7C"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b/>
          <w:bCs/>
          <w:color w:val="000000"/>
          <w:sz w:val="40"/>
          <w:szCs w:val="40"/>
          <w:lang/>
        </w:rPr>
        <w:t>Etiology</w:t>
      </w:r>
    </w:p>
    <w:p w14:paraId="0CF5C430"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ab/>
        <w:t xml:space="preserve"> Hyperlipidemia occurs because of a high concentration of the triglycerides, the cholesterol level, or the phospholipids in the blood. One of the causes of the high concentration of the different types of fats is the risk of clogged arteries otherwise known as atherosclerosis.Gemfibrozil is, therefore, significant in helping to reduce the patients’ vulnerability to Coronary Heart Disease, Stroke, and heart attack in patients who suffer from Hyperlipidemia and who have not benefited from the other methods of treatment.</w:t>
      </w:r>
    </w:p>
    <w:p w14:paraId="4B742B7F"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ab/>
        <w:t xml:space="preserve"> Studies show that about 12.6 million citizens of the United States of America have the Coronary Heart Disease and 530,000 deaths result from this disorder, yearly (Micromedex, et al., 2017). Additionally, the country spends approximately, 112 billion dollars to treat this disease.</w:t>
      </w:r>
    </w:p>
    <w:p w14:paraId="42B57A9B"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b/>
          <w:bCs/>
          <w:color w:val="000000"/>
          <w:sz w:val="40"/>
          <w:szCs w:val="40"/>
          <w:lang/>
        </w:rPr>
        <w:t>Pathophysiology</w:t>
      </w:r>
    </w:p>
    <w:p w14:paraId="472D737C"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ab/>
        <w:t xml:space="preserve">The triglycerides, phospholipids, and cholesterol pass through the blood stream as lipoproteins. The lipoproteins are complexes of lipids and proteins. Lesions that result from atherosclerosis occur because of the retention and transportation of the low-density plasma </w:t>
      </w:r>
      <w:r w:rsidRPr="00BB0B06">
        <w:rPr>
          <w:rFonts w:ascii="Times New Roman" w:eastAsia="Times New Roman" w:hAnsi="Times New Roman" w:cs="Times New Roman"/>
          <w:color w:val="000000"/>
          <w:sz w:val="24"/>
          <w:szCs w:val="24"/>
          <w:lang/>
        </w:rPr>
        <w:lastRenderedPageBreak/>
        <w:t>lipoprotein (LDL) via the endothelial layer of the cell and into the extracellular matrix that exists in the sub-endothelial space (Health, Medicine &amp; Anatomy Reference Picture, 2013). Once the LDL reaches the artery wall, the oxidation process and the non-enzymatic glycation modify it chemically.</w:t>
      </w:r>
    </w:p>
    <w:p w14:paraId="35B43A75"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b/>
          <w:bCs/>
          <w:color w:val="000000"/>
          <w:sz w:val="40"/>
          <w:szCs w:val="40"/>
          <w:lang/>
        </w:rPr>
        <w:t>Epidemiology</w:t>
      </w:r>
    </w:p>
    <w:p w14:paraId="5E336F3F"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ab/>
        <w:t>About 33.6 million adults who are 20 years old or above this age in the United States of America have a 240 mg/dL level of serum cholesterol or higher. Although the use of drugs that help in the reduction of the lipids have contributed to improving the total cholesterol and low-density lipid level, the increase in obesity in the nation have resulted in the growth of the triglyceride levels in the blood. Thirty three percent of the adults in the United States of America have high levels of triglyceride whereas 69 percent have over 100 mg/dL levels of LDL-C (Low –Density Lipoprotein Cholesterol) in their blood.</w:t>
      </w:r>
    </w:p>
    <w:p w14:paraId="763FAE6F"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ab/>
        <w:t>Studies show that the levels of the LDL-C increase with age. At age 50, 23.5 percent, and 28.6 percent of men and women respectively had high levels of LDL-C, whereas 51.4 percent of women and 60.5 percent of men had borderline elevated levels of the LDL-C (Health Anatomy Diagrams, 2017). 13.3 percent of the high levels of cholesterol were present in the fourth-grade children.A report done by the National Health and Nutrition Examination Survey (NHANES) in the years between 1988 and 1994 shows that 10 percent of the adolescents had high cholesterol levels.</w:t>
      </w:r>
    </w:p>
    <w:p w14:paraId="0413BD68"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b/>
          <w:bCs/>
          <w:color w:val="000000"/>
          <w:sz w:val="40"/>
          <w:szCs w:val="40"/>
          <w:lang/>
        </w:rPr>
        <w:t>Diagnosis of Hyperlipidemia</w:t>
      </w:r>
    </w:p>
    <w:p w14:paraId="0455F39C"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ab/>
        <w:t xml:space="preserve">The Fasting Lipoprotein Profile (FLP) test which entails the measurement of the cholesterol and triglycerides level should be carried out after every five years for individuals who are 20 years or older. In the cases of triglyceride measurement, the fasting of the person for 12 hours or longer is necessary because the levels could get elevated in well-fed individuals </w:t>
      </w:r>
      <w:r w:rsidRPr="00BB0B06">
        <w:rPr>
          <w:rFonts w:ascii="Times New Roman" w:eastAsia="Times New Roman" w:hAnsi="Times New Roman" w:cs="Times New Roman"/>
          <w:color w:val="000000"/>
          <w:sz w:val="24"/>
          <w:szCs w:val="24"/>
          <w:lang/>
        </w:rPr>
        <w:lastRenderedPageBreak/>
        <w:t>(Health, Medicine and Anatomy Reference Picture, 2013). The patient should be on a stable diet and maintain their weight for 1-8 weeks to provide reliable results in the tests.</w:t>
      </w:r>
    </w:p>
    <w:p w14:paraId="706F5D51"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ab/>
        <w:t>When the level of the total cholesterol is measured, and the result is over 200 mg/dL, then there is the need for a second test to verify the first one. If the second test yield’s results that differ from the first by 30mg/dL, then a third test is conducted and the three values compared to come up with the outcome.</w:t>
      </w:r>
    </w:p>
    <w:p w14:paraId="7B5BEEB9"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b/>
          <w:bCs/>
          <w:color w:val="000000"/>
          <w:sz w:val="40"/>
          <w:szCs w:val="40"/>
          <w:lang/>
        </w:rPr>
        <w:t>The Dose and Directions of taking Gemfibrozil</w:t>
      </w:r>
    </w:p>
    <w:p w14:paraId="10E22A9E"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ab/>
        <w:t>The FDA (Food and Drug Administration) approves the use of the drug Gemfibrozil for the treatment of types IV and V of Hyperlipidemia. The patient should take 600 mg of the drug twice a day 30 minutes before the meals (Breakfast and Dinner) (Micromedex, et al., 2017). The doctor can also prescribe 900 mg of the drug once a day half an hour before the evening meal if they feel that the patient needs a lower dosage. </w:t>
      </w:r>
    </w:p>
    <w:p w14:paraId="4F89A92B"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ab/>
        <w:t>The reason as to why this drug is taken 30 minutes before time is that it is better absorbed when the person is hungry or rather the stomach is empty.Before the patient begins taking the Gemfibrozil doses, they should be able to read and understand the information on the leaflet that exists in the drug pack. The patient should be able to take the medication in accordance with the doctor’s prescription. The patient needs to swallow the tablet as a whole as the taste might not be pleasant when the tablets get broken, or the patient opens the capsules.</w:t>
      </w:r>
    </w:p>
    <w:p w14:paraId="6F2BB22E"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b/>
          <w:bCs/>
          <w:color w:val="000000"/>
          <w:sz w:val="40"/>
          <w:szCs w:val="40"/>
          <w:lang/>
        </w:rPr>
        <w:t>Medical Adherence</w:t>
      </w:r>
    </w:p>
    <w:p w14:paraId="7A5F8D90" w14:textId="77777777" w:rsidR="00BB0B06" w:rsidRPr="00BB0B06" w:rsidRDefault="00BB0B06" w:rsidP="00BB0B06">
      <w:pPr>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ab/>
        <w:t>There cannot be an overemphasis of the need to address the medical adherence since it is one of the greatest challenges faced in the medical field. This assignment gave me the chance to gain experience about this concept by putting me to the test. In this study, I got the Gemfibrozil prescription, which is intended to treat Hyperlipidemia specifically caused by high levels of triglycerides in the blood.</w:t>
      </w:r>
    </w:p>
    <w:p w14:paraId="3EC6BB15" w14:textId="77777777" w:rsidR="00BB0B06" w:rsidRPr="00BB0B06" w:rsidRDefault="00BB0B06" w:rsidP="00BB0B06">
      <w:pPr>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lastRenderedPageBreak/>
        <w:tab/>
        <w:t>For this assignment, I identified several factors that hindered my adherence to the dosage of the medicine. These factors include the forgetfulness to take the drugs, the inability to take the dosage in a consistent manner and an improper diet. However, I tried to figure out ways that I could use to overcome these challenges and aid in my adherence. First, I learned that my forgetfulness was because of my busy schedule where I could hardly notice time fly.</w:t>
      </w:r>
    </w:p>
    <w:p w14:paraId="6903F283" w14:textId="77777777" w:rsidR="00BB0B06" w:rsidRPr="00BB0B06" w:rsidRDefault="00BB0B06" w:rsidP="00BB0B06">
      <w:pPr>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ab/>
        <w:t xml:space="preserve"> I, therefore, made an effort to take the dosage immediately I remembered, and if it was past the dosage time, then I just skipped taking the drug and waited for the next time. This action was meant to prevent me from taking two doses of the drug in an attempt to make up for the dosage I forgot hence overdosing.</w:t>
      </w:r>
    </w:p>
    <w:p w14:paraId="577B7C48" w14:textId="77777777" w:rsidR="00BB0B06" w:rsidRPr="00BB0B06" w:rsidRDefault="00BB0B06" w:rsidP="00BB0B06">
      <w:pPr>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ab/>
        <w:t>The second solution to my challenges was making the same meals every day to help me with the consistency of the dosage which I believe significantly increased the effectiveness of the drug as well. Thirdly, I resolved to a well-balanced diet by consuming foods that were low in fats or cholesterol to make sure that I have maximized the effectiveness of Gemfibrozil.</w:t>
      </w:r>
    </w:p>
    <w:p w14:paraId="375BB730" w14:textId="77777777" w:rsidR="00BB0B06" w:rsidRPr="00BB0B06" w:rsidRDefault="00BB0B06" w:rsidP="00BB0B06">
      <w:pPr>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ab/>
        <w:t>Also in the study, I was assigned the barrier of visual impairment. Occasionally, I used blindfolds to help me understand the situation better. In the process, I figured that there were several risks associated with this barrier. The risks include taking the wrong medicine in cases where there were other different drugs used to treat other illnesses. In an attempt to curb this risk, I came up with three strategic plans to overcome the barrier.</w:t>
      </w:r>
    </w:p>
    <w:p w14:paraId="548F8EE4" w14:textId="77777777" w:rsidR="00BB0B06" w:rsidRPr="00BB0B06" w:rsidRDefault="00BB0B06" w:rsidP="00BB0B06">
      <w:pPr>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ab/>
        <w:t xml:space="preserve"> First, I requested a family member to help me with the taking of the dosage. In addition, I was expecting them to provide directions so that I could not risk overdosing or taking the wrong drug at the wrong time. Secondly, I made sure that I separated the other medications and put each in a distinct place maintaining the spots for each of the drugs to avoid the mix-up. </w:t>
      </w:r>
    </w:p>
    <w:p w14:paraId="2269B498" w14:textId="77777777" w:rsidR="00BB0B06" w:rsidRPr="00BB0B06" w:rsidRDefault="00BB0B06" w:rsidP="00BB0B06">
      <w:pPr>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ab/>
        <w:t xml:space="preserve">Lastly, I made sure that each of the medications I was taking including Gemfibrozil had Braille writing in their boxes. It is because I could quickly read them and distinguish them from one another. Although it was difficult to carry out this assignment, I was able to gain experience, </w:t>
      </w:r>
      <w:r w:rsidRPr="00BB0B06">
        <w:rPr>
          <w:rFonts w:ascii="Times New Roman" w:eastAsia="Times New Roman" w:hAnsi="Times New Roman" w:cs="Times New Roman"/>
          <w:color w:val="000000"/>
          <w:sz w:val="24"/>
          <w:szCs w:val="24"/>
          <w:lang/>
        </w:rPr>
        <w:lastRenderedPageBreak/>
        <w:t>and now I can easily relate and provide the right patient education to patients with such barriers that can affect medical adherence.</w:t>
      </w:r>
    </w:p>
    <w:p w14:paraId="4C41F70C"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b/>
          <w:bCs/>
          <w:color w:val="000000"/>
          <w:sz w:val="40"/>
          <w:szCs w:val="40"/>
          <w:lang/>
        </w:rPr>
        <w:t>Side Effects of Gemfibrozil</w:t>
      </w:r>
    </w:p>
    <w:p w14:paraId="19AF5A4F"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ab/>
        <w:t>The common side effects associated with the use of Gemfibrozil include stomach upset, nausea, constipation, diarrhea, joint pain, headache, dizziness, drowsiness, mild rush, cold-related symptoms such as sneezing, stuffy nose, and sore throat (Micromedex, et al., 2017). The patient should inform the doctor if they are using other drugs because other medicines can interact with Gemfibrozil and contribute significantly to the severity of the side effects. If the side effects persist, the patient should make a point of visiting the doctor.</w:t>
      </w:r>
    </w:p>
    <w:p w14:paraId="77283F18"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b/>
          <w:bCs/>
          <w:color w:val="000000"/>
          <w:sz w:val="40"/>
          <w:szCs w:val="40"/>
          <w:lang/>
        </w:rPr>
        <w:t>Conclusion</w:t>
      </w:r>
    </w:p>
    <w:p w14:paraId="5E0976F9"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ab/>
        <w:t>Proper medical adherence is core when it comes to the treatment of the Hyperlipidemia. Avoiding things that hinder medical adherence or the effectiveness of the drug such as the consumption of alcohol and foods rich in cholesterol will help in creating positive outcomes in the treatment. The patient should make a point of visiting their doctors immediately if they have severe side effects such as muscle pain or dark-colored urine as the Gemfibrozil could lead to kidney failure in rare cases.</w:t>
      </w:r>
    </w:p>
    <w:p w14:paraId="2C262705"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ab/>
        <w:t>There are ways that the experience gained in this study will help during the nursing practices. First, it will assist in the providing patient education about the concept of Hyperlipidemia. In addition, they provide education on how to treat it using Gemfibrozil. Secondly, it will aid the nurse in creating an insight to the patient about the symptoms and signs that could pose risks to the patient’s life, and finally, it will help the nurse to make the proper diagnosis and control the disorder.</w:t>
      </w:r>
    </w:p>
    <w:p w14:paraId="4EB3A842"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b/>
          <w:bCs/>
          <w:color w:val="000000"/>
          <w:sz w:val="40"/>
          <w:szCs w:val="40"/>
          <w:lang/>
        </w:rPr>
        <w:t>References</w:t>
      </w:r>
    </w:p>
    <w:p w14:paraId="5D4AC3B7" w14:textId="77777777" w:rsidR="00BB0B06" w:rsidRPr="00BB0B06" w:rsidRDefault="00BB0B06" w:rsidP="00BB0B06">
      <w:pPr>
        <w:spacing w:after="0" w:line="480" w:lineRule="auto"/>
        <w:ind w:hanging="720"/>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lastRenderedPageBreak/>
        <w:t xml:space="preserve">Health Anatomy Diagrams,.(2017). </w:t>
      </w:r>
      <w:r w:rsidRPr="00BB0B06">
        <w:rPr>
          <w:rFonts w:ascii="Times New Roman" w:eastAsia="Times New Roman" w:hAnsi="Times New Roman" w:cs="Times New Roman"/>
          <w:i/>
          <w:iCs/>
          <w:color w:val="000000"/>
          <w:sz w:val="24"/>
          <w:szCs w:val="24"/>
          <w:lang/>
        </w:rPr>
        <w:t>pathophysiology of hyperlipidemia sign symptoms etiology | health anatomy diagrams</w:t>
      </w:r>
      <w:r w:rsidRPr="00BB0B06">
        <w:rPr>
          <w:rFonts w:ascii="Times New Roman" w:eastAsia="Times New Roman" w:hAnsi="Times New Roman" w:cs="Times New Roman"/>
          <w:color w:val="000000"/>
          <w:sz w:val="24"/>
          <w:szCs w:val="24"/>
          <w:lang/>
        </w:rPr>
        <w:t>.</w:t>
      </w:r>
      <w:r w:rsidRPr="00BB0B06">
        <w:rPr>
          <w:rFonts w:ascii="Times New Roman" w:eastAsia="Times New Roman" w:hAnsi="Times New Roman" w:cs="Times New Roman"/>
          <w:i/>
          <w:iCs/>
          <w:color w:val="000000"/>
          <w:sz w:val="24"/>
          <w:szCs w:val="24"/>
          <w:lang/>
        </w:rPr>
        <w:t>Healthanatomydiagrams.com</w:t>
      </w:r>
      <w:r w:rsidRPr="00BB0B06">
        <w:rPr>
          <w:rFonts w:ascii="Times New Roman" w:eastAsia="Times New Roman" w:hAnsi="Times New Roman" w:cs="Times New Roman"/>
          <w:color w:val="000000"/>
          <w:sz w:val="24"/>
          <w:szCs w:val="24"/>
          <w:lang/>
        </w:rPr>
        <w:t xml:space="preserve">. Retrieved 15 February 2017, from </w:t>
      </w:r>
      <w:hyperlink r:id="rId4" w:history="1">
        <w:r w:rsidRPr="00BB0B06">
          <w:rPr>
            <w:rFonts w:ascii="Times New Roman" w:eastAsia="Times New Roman" w:hAnsi="Times New Roman" w:cs="Times New Roman"/>
            <w:color w:val="000000"/>
            <w:sz w:val="24"/>
            <w:szCs w:val="24"/>
            <w:u w:val="single"/>
            <w:lang/>
          </w:rPr>
          <w:t>http://healthanatomydiagrams.com/pathophysiology-of-hyperlipidemia/</w:t>
        </w:r>
      </w:hyperlink>
    </w:p>
    <w:p w14:paraId="18433839" w14:textId="77777777" w:rsidR="00BB0B06" w:rsidRPr="00BB0B06" w:rsidRDefault="00BB0B06" w:rsidP="00BB0B06">
      <w:pPr>
        <w:spacing w:after="0" w:line="480" w:lineRule="auto"/>
        <w:ind w:hanging="720"/>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 xml:space="preserve">Health, Medicine and Anatomy Reference Picture,. (2013). </w:t>
      </w:r>
      <w:r w:rsidRPr="00BB0B06">
        <w:rPr>
          <w:rFonts w:ascii="Times New Roman" w:eastAsia="Times New Roman" w:hAnsi="Times New Roman" w:cs="Times New Roman"/>
          <w:i/>
          <w:iCs/>
          <w:color w:val="000000"/>
          <w:sz w:val="24"/>
          <w:szCs w:val="24"/>
          <w:lang/>
        </w:rPr>
        <w:t>Hyperlipidemia : Pathophysiology, Diagnosis, And Treatment - Health, Medicine and Anatomy Reference Pictures</w:t>
      </w:r>
      <w:r w:rsidRPr="00BB0B06">
        <w:rPr>
          <w:rFonts w:ascii="Times New Roman" w:eastAsia="Times New Roman" w:hAnsi="Times New Roman" w:cs="Times New Roman"/>
          <w:color w:val="000000"/>
          <w:sz w:val="24"/>
          <w:szCs w:val="24"/>
          <w:lang/>
        </w:rPr>
        <w:t xml:space="preserve">. </w:t>
      </w:r>
      <w:r w:rsidRPr="00BB0B06">
        <w:rPr>
          <w:rFonts w:ascii="Times New Roman" w:eastAsia="Times New Roman" w:hAnsi="Times New Roman" w:cs="Times New Roman"/>
          <w:i/>
          <w:iCs/>
          <w:color w:val="000000"/>
          <w:sz w:val="24"/>
          <w:szCs w:val="24"/>
          <w:lang/>
        </w:rPr>
        <w:t>Healthfavo.com</w:t>
      </w:r>
      <w:r w:rsidRPr="00BB0B06">
        <w:rPr>
          <w:rFonts w:ascii="Times New Roman" w:eastAsia="Times New Roman" w:hAnsi="Times New Roman" w:cs="Times New Roman"/>
          <w:color w:val="000000"/>
          <w:sz w:val="24"/>
          <w:szCs w:val="24"/>
          <w:lang/>
        </w:rPr>
        <w:t xml:space="preserve">. Retrieved 15 February 2017, from </w:t>
      </w:r>
      <w:hyperlink r:id="rId5" w:history="1">
        <w:r w:rsidRPr="00BB0B06">
          <w:rPr>
            <w:rFonts w:ascii="Times New Roman" w:eastAsia="Times New Roman" w:hAnsi="Times New Roman" w:cs="Times New Roman"/>
            <w:color w:val="000000"/>
            <w:sz w:val="24"/>
            <w:szCs w:val="24"/>
            <w:u w:val="single"/>
            <w:lang/>
          </w:rPr>
          <w:t>http://healthfavo.com/hyperlipidemia-pathophysiology-diagnosis-and-treatment.html</w:t>
        </w:r>
      </w:hyperlink>
    </w:p>
    <w:p w14:paraId="65D09608" w14:textId="77777777" w:rsidR="00BB0B06" w:rsidRPr="00BB0B06" w:rsidRDefault="00BB0B06" w:rsidP="00BB0B06">
      <w:pPr>
        <w:spacing w:after="0" w:line="480" w:lineRule="auto"/>
        <w:ind w:hanging="720"/>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 xml:space="preserve">MedlinePlus,. (2017). </w:t>
      </w:r>
      <w:r w:rsidRPr="00BB0B06">
        <w:rPr>
          <w:rFonts w:ascii="Times New Roman" w:eastAsia="Times New Roman" w:hAnsi="Times New Roman" w:cs="Times New Roman"/>
          <w:i/>
          <w:iCs/>
          <w:color w:val="000000"/>
          <w:sz w:val="24"/>
          <w:szCs w:val="24"/>
          <w:lang/>
        </w:rPr>
        <w:t>Gemfibrozil: MedlinePlus Drug Information</w:t>
      </w:r>
      <w:r w:rsidRPr="00BB0B06">
        <w:rPr>
          <w:rFonts w:ascii="Times New Roman" w:eastAsia="Times New Roman" w:hAnsi="Times New Roman" w:cs="Times New Roman"/>
          <w:color w:val="000000"/>
          <w:sz w:val="24"/>
          <w:szCs w:val="24"/>
          <w:lang/>
        </w:rPr>
        <w:t xml:space="preserve">. </w:t>
      </w:r>
      <w:r w:rsidRPr="00BB0B06">
        <w:rPr>
          <w:rFonts w:ascii="Times New Roman" w:eastAsia="Times New Roman" w:hAnsi="Times New Roman" w:cs="Times New Roman"/>
          <w:i/>
          <w:iCs/>
          <w:color w:val="000000"/>
          <w:sz w:val="24"/>
          <w:szCs w:val="24"/>
          <w:lang/>
        </w:rPr>
        <w:t>Medlineplus.gov</w:t>
      </w:r>
      <w:r w:rsidRPr="00BB0B06">
        <w:rPr>
          <w:rFonts w:ascii="Times New Roman" w:eastAsia="Times New Roman" w:hAnsi="Times New Roman" w:cs="Times New Roman"/>
          <w:color w:val="000000"/>
          <w:sz w:val="24"/>
          <w:szCs w:val="24"/>
          <w:lang/>
        </w:rPr>
        <w:t xml:space="preserve">. Retrieved 15 February 2017, from </w:t>
      </w:r>
      <w:hyperlink r:id="rId6" w:history="1">
        <w:r w:rsidRPr="00BB0B06">
          <w:rPr>
            <w:rFonts w:ascii="Times New Roman" w:eastAsia="Times New Roman" w:hAnsi="Times New Roman" w:cs="Times New Roman"/>
            <w:color w:val="000000"/>
            <w:sz w:val="24"/>
            <w:szCs w:val="24"/>
            <w:u w:val="single"/>
            <w:lang/>
          </w:rPr>
          <w:t>https://medlineplus.gov/druginfo/meds/a686002.html</w:t>
        </w:r>
      </w:hyperlink>
    </w:p>
    <w:p w14:paraId="0E189B02" w14:textId="77777777" w:rsidR="00BB0B06" w:rsidRPr="00BB0B06" w:rsidRDefault="00BB0B06" w:rsidP="00BB0B06">
      <w:pPr>
        <w:spacing w:after="0" w:line="480" w:lineRule="auto"/>
        <w:ind w:hanging="720"/>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 xml:space="preserve">Micromedex, et al,. (2017). </w:t>
      </w:r>
      <w:r w:rsidRPr="00BB0B06">
        <w:rPr>
          <w:rFonts w:ascii="Times New Roman" w:eastAsia="Times New Roman" w:hAnsi="Times New Roman" w:cs="Times New Roman"/>
          <w:i/>
          <w:iCs/>
          <w:color w:val="000000"/>
          <w:sz w:val="24"/>
          <w:szCs w:val="24"/>
          <w:lang/>
        </w:rPr>
        <w:t>Gemfibrozil Dosage Guide with Precautions - Drugs.com</w:t>
      </w:r>
      <w:r w:rsidRPr="00BB0B06">
        <w:rPr>
          <w:rFonts w:ascii="Times New Roman" w:eastAsia="Times New Roman" w:hAnsi="Times New Roman" w:cs="Times New Roman"/>
          <w:color w:val="000000"/>
          <w:sz w:val="24"/>
          <w:szCs w:val="24"/>
          <w:lang/>
        </w:rPr>
        <w:t xml:space="preserve">. </w:t>
      </w:r>
      <w:r w:rsidRPr="00BB0B06">
        <w:rPr>
          <w:rFonts w:ascii="Times New Roman" w:eastAsia="Times New Roman" w:hAnsi="Times New Roman" w:cs="Times New Roman"/>
          <w:i/>
          <w:iCs/>
          <w:color w:val="000000"/>
          <w:sz w:val="24"/>
          <w:szCs w:val="24"/>
          <w:lang/>
        </w:rPr>
        <w:t>Drugs.com</w:t>
      </w:r>
      <w:r w:rsidRPr="00BB0B06">
        <w:rPr>
          <w:rFonts w:ascii="Times New Roman" w:eastAsia="Times New Roman" w:hAnsi="Times New Roman" w:cs="Times New Roman"/>
          <w:color w:val="000000"/>
          <w:sz w:val="24"/>
          <w:szCs w:val="24"/>
          <w:lang/>
        </w:rPr>
        <w:t xml:space="preserve">. Retrieved 15 February 2017, from </w:t>
      </w:r>
      <w:hyperlink r:id="rId7" w:history="1">
        <w:r w:rsidRPr="00BB0B06">
          <w:rPr>
            <w:rFonts w:ascii="Times New Roman" w:eastAsia="Times New Roman" w:hAnsi="Times New Roman" w:cs="Times New Roman"/>
            <w:color w:val="000000"/>
            <w:sz w:val="24"/>
            <w:szCs w:val="24"/>
            <w:u w:val="single"/>
            <w:lang/>
          </w:rPr>
          <w:t>https://www.drugs.com/dosage/gemfibrozil.html</w:t>
        </w:r>
      </w:hyperlink>
    </w:p>
    <w:p w14:paraId="60FF56FE" w14:textId="77777777" w:rsidR="00BB0B06" w:rsidRPr="00BB0B06" w:rsidRDefault="00BB0B06" w:rsidP="00BB0B06">
      <w:pPr>
        <w:spacing w:after="0" w:line="480" w:lineRule="auto"/>
        <w:ind w:hanging="720"/>
        <w:rPr>
          <w:rFonts w:ascii="Times New Roman" w:eastAsia="Times New Roman" w:hAnsi="Times New Roman" w:cs="Times New Roman"/>
          <w:sz w:val="24"/>
          <w:szCs w:val="24"/>
          <w:lang/>
        </w:rPr>
      </w:pPr>
      <w:r w:rsidRPr="00BB0B06">
        <w:rPr>
          <w:rFonts w:ascii="Times New Roman" w:eastAsia="Times New Roman" w:hAnsi="Times New Roman" w:cs="Times New Roman"/>
          <w:color w:val="000000"/>
          <w:sz w:val="24"/>
          <w:szCs w:val="24"/>
          <w:lang/>
        </w:rPr>
        <w:t xml:space="preserve">Micromedex, et al,. (2017). </w:t>
      </w:r>
      <w:r w:rsidRPr="00BB0B06">
        <w:rPr>
          <w:rFonts w:ascii="Times New Roman" w:eastAsia="Times New Roman" w:hAnsi="Times New Roman" w:cs="Times New Roman"/>
          <w:i/>
          <w:iCs/>
          <w:color w:val="000000"/>
          <w:sz w:val="24"/>
          <w:szCs w:val="24"/>
          <w:lang/>
        </w:rPr>
        <w:t>Gemfibrozil: Uses, Dosage, Side Effects - Drugs.com</w:t>
      </w:r>
      <w:r w:rsidRPr="00BB0B06">
        <w:rPr>
          <w:rFonts w:ascii="Times New Roman" w:eastAsia="Times New Roman" w:hAnsi="Times New Roman" w:cs="Times New Roman"/>
          <w:color w:val="000000"/>
          <w:sz w:val="24"/>
          <w:szCs w:val="24"/>
          <w:lang/>
        </w:rPr>
        <w:t xml:space="preserve">. </w:t>
      </w:r>
      <w:r w:rsidRPr="00BB0B06">
        <w:rPr>
          <w:rFonts w:ascii="Times New Roman" w:eastAsia="Times New Roman" w:hAnsi="Times New Roman" w:cs="Times New Roman"/>
          <w:i/>
          <w:iCs/>
          <w:color w:val="000000"/>
          <w:sz w:val="24"/>
          <w:szCs w:val="24"/>
          <w:lang/>
        </w:rPr>
        <w:t>Drugs.com</w:t>
      </w:r>
      <w:r w:rsidRPr="00BB0B06">
        <w:rPr>
          <w:rFonts w:ascii="Times New Roman" w:eastAsia="Times New Roman" w:hAnsi="Times New Roman" w:cs="Times New Roman"/>
          <w:color w:val="000000"/>
          <w:sz w:val="24"/>
          <w:szCs w:val="24"/>
          <w:lang/>
        </w:rPr>
        <w:t xml:space="preserve">. Retrieved 15 February 2017, from </w:t>
      </w:r>
      <w:hyperlink r:id="rId8" w:history="1">
        <w:r w:rsidRPr="00BB0B06">
          <w:rPr>
            <w:rFonts w:ascii="Times New Roman" w:eastAsia="Times New Roman" w:hAnsi="Times New Roman" w:cs="Times New Roman"/>
            <w:color w:val="000000"/>
            <w:sz w:val="24"/>
            <w:szCs w:val="24"/>
            <w:u w:val="single"/>
            <w:lang/>
          </w:rPr>
          <w:t>https://www.drugs.com/gemfibrozil.html</w:t>
        </w:r>
      </w:hyperlink>
    </w:p>
    <w:p w14:paraId="3EB9421D" w14:textId="77777777" w:rsidR="00BB0B06" w:rsidRPr="00BB0B06" w:rsidRDefault="00BB0B06" w:rsidP="00BB0B06">
      <w:pPr>
        <w:spacing w:after="240" w:line="240" w:lineRule="auto"/>
        <w:rPr>
          <w:rFonts w:ascii="Times New Roman" w:eastAsia="Times New Roman" w:hAnsi="Times New Roman" w:cs="Times New Roman"/>
          <w:sz w:val="24"/>
          <w:szCs w:val="24"/>
          <w:lang/>
        </w:rPr>
      </w:pPr>
      <w:r w:rsidRPr="00BB0B06">
        <w:rPr>
          <w:rFonts w:ascii="Times New Roman" w:eastAsia="Times New Roman" w:hAnsi="Times New Roman" w:cs="Times New Roman"/>
          <w:sz w:val="24"/>
          <w:szCs w:val="24"/>
          <w:lang/>
        </w:rPr>
        <w:br/>
      </w:r>
    </w:p>
    <w:p w14:paraId="642A2554" w14:textId="77777777" w:rsidR="00BB0B06" w:rsidRPr="00BB0B06" w:rsidRDefault="00BB0B06" w:rsidP="00BB0B06">
      <w:pPr>
        <w:shd w:val="clear" w:color="auto" w:fill="FCFCFC"/>
        <w:spacing w:after="0" w:line="480" w:lineRule="auto"/>
        <w:rPr>
          <w:rFonts w:ascii="Times New Roman" w:eastAsia="Times New Roman" w:hAnsi="Times New Roman" w:cs="Times New Roman"/>
          <w:sz w:val="24"/>
          <w:szCs w:val="24"/>
          <w:lang/>
        </w:rPr>
      </w:pPr>
      <w:r w:rsidRPr="00BB0B06">
        <w:rPr>
          <w:rFonts w:ascii="Times New Roman" w:eastAsia="Times New Roman" w:hAnsi="Times New Roman" w:cs="Times New Roman"/>
          <w:sz w:val="24"/>
          <w:szCs w:val="24"/>
          <w:lang/>
        </w:rPr>
        <w:t> </w:t>
      </w:r>
    </w:p>
    <w:p w14:paraId="44FD7F2D" w14:textId="77777777" w:rsidR="006162EF" w:rsidRDefault="006162EF"/>
    <w:sectPr w:rsidR="00616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6A"/>
    <w:rsid w:val="00046D6A"/>
    <w:rsid w:val="006162EF"/>
    <w:rsid w:val="00BB0B0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87824-1B1E-43A7-9033-6D0FD1BB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B06"/>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BB0B06"/>
  </w:style>
  <w:style w:type="character" w:styleId="a4">
    <w:name w:val="Hyperlink"/>
    <w:basedOn w:val="a0"/>
    <w:uiPriority w:val="99"/>
    <w:semiHidden/>
    <w:unhideWhenUsed/>
    <w:rsid w:val="00BB0B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ugs.com/gemfibrozil.html" TargetMode="External"/><Relationship Id="rId3" Type="http://schemas.openxmlformats.org/officeDocument/2006/relationships/webSettings" Target="webSettings.xml"/><Relationship Id="rId7" Type="http://schemas.openxmlformats.org/officeDocument/2006/relationships/hyperlink" Target="https://www.drugs.com/dosage/gemfibrozi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lineplus.gov/druginfo/meds/a686002.html" TargetMode="External"/><Relationship Id="rId5" Type="http://schemas.openxmlformats.org/officeDocument/2006/relationships/hyperlink" Target="http://healthfavo.com/hyperlipidemia-pathophysiology-diagnosis-and-treatment.html" TargetMode="External"/><Relationship Id="rId10" Type="http://schemas.openxmlformats.org/officeDocument/2006/relationships/theme" Target="theme/theme1.xml"/><Relationship Id="rId4" Type="http://schemas.openxmlformats.org/officeDocument/2006/relationships/hyperlink" Target="http://healthanatomydiagrams.com/pathophysiology-of-hyperlipidemia/"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1618</Words>
  <Characters>9228</Characters>
  <Application>Microsoft Office Word</Application>
  <DocSecurity>0</DocSecurity>
  <Lines>76</Lines>
  <Paragraphs>21</Paragraphs>
  <ScaleCrop>false</ScaleCrop>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2022-12-06T13:16:00Z</dcterms:created>
  <dcterms:modified xsi:type="dcterms:W3CDTF">2022-12-06T13:16:00Z</dcterms:modified>
</cp:coreProperties>
</file>